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10" w:rsidRPr="00AC53F1" w:rsidRDefault="002C31DD" w:rsidP="00C25B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53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7EC8">
        <w:rPr>
          <w:rFonts w:ascii="Times New Roman" w:hAnsi="Times New Roman" w:cs="Times New Roman"/>
          <w:sz w:val="28"/>
          <w:szCs w:val="28"/>
        </w:rPr>
        <w:t xml:space="preserve"> №</w:t>
      </w:r>
      <w:r w:rsidRPr="00AC53F1">
        <w:rPr>
          <w:rFonts w:ascii="Times New Roman" w:hAnsi="Times New Roman" w:cs="Times New Roman"/>
          <w:sz w:val="28"/>
          <w:szCs w:val="28"/>
        </w:rPr>
        <w:t>16</w:t>
      </w:r>
    </w:p>
    <w:p w:rsidR="00C25B10" w:rsidRPr="00AC53F1" w:rsidRDefault="00C25B10" w:rsidP="00C25B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53F1">
        <w:rPr>
          <w:rFonts w:ascii="Times New Roman" w:hAnsi="Times New Roman" w:cs="Times New Roman"/>
          <w:sz w:val="28"/>
          <w:szCs w:val="28"/>
        </w:rPr>
        <w:t>К приказу ГАУЗ КО «ТГСП»</w:t>
      </w:r>
    </w:p>
    <w:p w:rsidR="00C25B10" w:rsidRPr="00AC53F1" w:rsidRDefault="00AC53F1" w:rsidP="00AC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374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6374FE">
        <w:rPr>
          <w:rFonts w:ascii="Times New Roman" w:hAnsi="Times New Roman" w:cs="Times New Roman"/>
          <w:sz w:val="28"/>
          <w:szCs w:val="28"/>
        </w:rPr>
        <w:t>№</w:t>
      </w:r>
      <w:r w:rsidR="00C25B10" w:rsidRPr="00AC53F1">
        <w:rPr>
          <w:rFonts w:ascii="Times New Roman" w:hAnsi="Times New Roman" w:cs="Times New Roman"/>
          <w:sz w:val="28"/>
          <w:szCs w:val="28"/>
        </w:rPr>
        <w:t xml:space="preserve"> </w:t>
      </w:r>
      <w:r w:rsidR="006374FE">
        <w:rPr>
          <w:rFonts w:ascii="Times New Roman" w:hAnsi="Times New Roman" w:cs="Times New Roman"/>
          <w:sz w:val="28"/>
          <w:szCs w:val="28"/>
        </w:rPr>
        <w:t>40</w:t>
      </w:r>
      <w:r w:rsidR="00C25B10" w:rsidRPr="00AC53F1">
        <w:rPr>
          <w:rFonts w:ascii="Times New Roman" w:hAnsi="Times New Roman" w:cs="Times New Roman"/>
          <w:sz w:val="28"/>
          <w:szCs w:val="28"/>
        </w:rPr>
        <w:t xml:space="preserve">  от</w:t>
      </w:r>
      <w:r w:rsidR="006374FE">
        <w:rPr>
          <w:rFonts w:ascii="Times New Roman" w:hAnsi="Times New Roman" w:cs="Times New Roman"/>
          <w:sz w:val="28"/>
          <w:szCs w:val="28"/>
        </w:rPr>
        <w:t xml:space="preserve"> 03 марта 2019 г.</w:t>
      </w:r>
    </w:p>
    <w:p w:rsidR="00AC53F1" w:rsidRPr="00AC53F1" w:rsidRDefault="002C31DD" w:rsidP="00AC5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53F1">
        <w:rPr>
          <w:rFonts w:ascii="Times New Roman" w:hAnsi="Times New Roman" w:cs="Times New Roman"/>
          <w:sz w:val="28"/>
          <w:szCs w:val="28"/>
        </w:rPr>
        <w:t>ПОЛОЖЕНИЕ</w:t>
      </w:r>
    </w:p>
    <w:p w:rsidR="00AC53F1" w:rsidRPr="00AC53F1" w:rsidRDefault="002C31DD" w:rsidP="00AC5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53F1">
        <w:rPr>
          <w:rFonts w:ascii="Times New Roman" w:hAnsi="Times New Roman" w:cs="Times New Roman"/>
          <w:sz w:val="28"/>
          <w:szCs w:val="28"/>
        </w:rPr>
        <w:t>о порядке передачи документов при смене</w:t>
      </w:r>
    </w:p>
    <w:p w:rsidR="00AC53F1" w:rsidRDefault="002C31DD" w:rsidP="00AC5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53F1">
        <w:rPr>
          <w:rFonts w:ascii="Times New Roman" w:hAnsi="Times New Roman" w:cs="Times New Roman"/>
          <w:sz w:val="28"/>
          <w:szCs w:val="28"/>
        </w:rPr>
        <w:t>руководителя и (или) главного бухгалтера учреждения</w:t>
      </w:r>
      <w:r w:rsidR="00AC53F1">
        <w:rPr>
          <w:rFonts w:ascii="Times New Roman" w:hAnsi="Times New Roman" w:cs="Times New Roman"/>
          <w:sz w:val="28"/>
          <w:szCs w:val="28"/>
        </w:rPr>
        <w:t>.</w:t>
      </w:r>
    </w:p>
    <w:p w:rsidR="00AC53F1" w:rsidRPr="00AC53F1" w:rsidRDefault="00AC53F1" w:rsidP="00AC5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3F1" w:rsidRDefault="00AC53F1" w:rsidP="00AC5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C31DD" w:rsidRPr="00AC53F1">
        <w:rPr>
          <w:rFonts w:ascii="Times New Roman" w:hAnsi="Times New Roman" w:cs="Times New Roman"/>
          <w:sz w:val="28"/>
          <w:szCs w:val="28"/>
        </w:rPr>
        <w:t>Согласно п. 4 ст. 29 Федерального закона от 06.12.2011 № 402-ФЗ «О бухгалтерском учете», п. 14 Приказа Минфина России от 01.12.2010 г. № 157н «Об утверждении Единого плана счетов бухгалтерского учета для органов государственной власти (госорганов),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(в ред. приказа Минфина РФ от 31.03.2018</w:t>
      </w:r>
      <w:proofErr w:type="gramEnd"/>
      <w:r w:rsidR="002C31DD" w:rsidRPr="00AC53F1">
        <w:rPr>
          <w:rFonts w:ascii="Times New Roman" w:hAnsi="Times New Roman" w:cs="Times New Roman"/>
          <w:sz w:val="28"/>
          <w:szCs w:val="28"/>
        </w:rPr>
        <w:t xml:space="preserve"> г. № 64н) (далее – ЕПС), при смене руководителя субъекта учета и (или) главного бухгалтера либо иного должностного лица, на которое возложено ведение бухгалтерского учета, должна обеспечиваться передача документов бухгалтерского учета организации. </w:t>
      </w:r>
    </w:p>
    <w:p w:rsidR="00AC53F1" w:rsidRDefault="00AC53F1" w:rsidP="00AC5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31DD" w:rsidRPr="00AC53F1">
        <w:rPr>
          <w:rFonts w:ascii="Times New Roman" w:hAnsi="Times New Roman" w:cs="Times New Roman"/>
          <w:sz w:val="28"/>
          <w:szCs w:val="28"/>
        </w:rPr>
        <w:t xml:space="preserve">1. Передача дел осуществляется на основании приказа руководителя учреждения, в котором указываются: – причина проведения приема-передачи дел; – порядок приемки – передачи дел; – сроки проведения приема-передачи дел; – лицо, ответственное за сдачу документов; – лицо, ответственное за прием документов; – другие лица, участвующие в процессе приема-передачи дел (члены инвентаризационной комиссии, представитель учредителя); – дата, на которую должны быть завершены учетные процессы за истекший период (определяется исходя из сроков сдачи налоговых деклараций и бухгалтерской отчетности); – полномочия и обязанности предыдущего и нового руководителя и (или) главного бухгалтера (если они какое-то время будут работать вместе). </w:t>
      </w:r>
    </w:p>
    <w:p w:rsidR="00AC53F1" w:rsidRDefault="00AC53F1" w:rsidP="00AC5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1DD" w:rsidRPr="00AC53F1">
        <w:rPr>
          <w:rFonts w:ascii="Times New Roman" w:hAnsi="Times New Roman" w:cs="Times New Roman"/>
          <w:sz w:val="28"/>
          <w:szCs w:val="28"/>
        </w:rPr>
        <w:t xml:space="preserve">2. Если при увольнении главного бухгалтера подходящая кандидатура до истечения срока уведомления не найдена, дела передаются другому сотруднику, назначенному приказом руководителя, например, бухгалтеру. В случае их отсутствия принятие дел может осуществить руководитель учреждения в силу ст. 7 Закона № 402-ФЗ. </w:t>
      </w:r>
    </w:p>
    <w:p w:rsidR="00AC53F1" w:rsidRDefault="00AC53F1" w:rsidP="00AC5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31DD" w:rsidRPr="00AC53F1">
        <w:rPr>
          <w:rFonts w:ascii="Times New Roman" w:hAnsi="Times New Roman" w:cs="Times New Roman"/>
          <w:sz w:val="28"/>
          <w:szCs w:val="28"/>
        </w:rPr>
        <w:t xml:space="preserve">3. На дату, указанную в Приказе, бухгалтерская служба должна завершить все учетные процессы. Для этого необходимо: – сформировать первичные документы; – сформировать регистры бухгалтерского учета в порядке, </w:t>
      </w:r>
      <w:r w:rsidR="002C31DD" w:rsidRPr="00AC53F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в учетной политике организации; – представить бухгалтерскую и налоговую отчетность, расчеты по уплате страховых взносов, статистическую отчетность и т.д. Все документы должны быть подшиты. </w:t>
      </w:r>
    </w:p>
    <w:p w:rsidR="00AC53F1" w:rsidRDefault="00AC53F1" w:rsidP="00AC5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31DD" w:rsidRPr="00AC53F1">
        <w:rPr>
          <w:rFonts w:ascii="Times New Roman" w:hAnsi="Times New Roman" w:cs="Times New Roman"/>
          <w:sz w:val="28"/>
          <w:szCs w:val="28"/>
        </w:rPr>
        <w:t xml:space="preserve">4. Для участия в передаче дел руководитель учреждения вправе создать инвентаризационную комиссию. В состав инвентаризационной комиссии включаются работники бухгалтерии, а также материально ответственные сотрудники других подразделений. Инвентаризационная комиссия создается приказом руководителя, в котором определяется ее состав и полномочия. </w:t>
      </w:r>
    </w:p>
    <w:p w:rsidR="00AC53F1" w:rsidRDefault="00AC53F1" w:rsidP="00AC5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31DD" w:rsidRPr="00AC53F1">
        <w:rPr>
          <w:rFonts w:ascii="Times New Roman" w:hAnsi="Times New Roman" w:cs="Times New Roman"/>
          <w:sz w:val="28"/>
          <w:szCs w:val="28"/>
        </w:rPr>
        <w:t xml:space="preserve">5. При смене руководителя учреждения проводится инвентаризация имущества и обязательств в порядке, установленном в учетной политике организации. </w:t>
      </w:r>
    </w:p>
    <w:p w:rsidR="00AC53F1" w:rsidRDefault="00AC53F1" w:rsidP="00AC5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31DD" w:rsidRPr="00AC53F1">
        <w:rPr>
          <w:rFonts w:ascii="Times New Roman" w:hAnsi="Times New Roman" w:cs="Times New Roman"/>
          <w:sz w:val="28"/>
          <w:szCs w:val="28"/>
        </w:rPr>
        <w:t xml:space="preserve">6. По результатам проверки составляется акт приема-передачи документов, в котором отражаются: – наличие организационной документации: учетная политика, план счетов бухгалтерского учета, учетные регистры, должностные инструкции работников бухгалтерии; – наличие регистров бухгалтерского учета: главная книга или </w:t>
      </w:r>
      <w:proofErr w:type="spellStart"/>
      <w:r w:rsidR="002C31DD" w:rsidRPr="00AC53F1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2C31DD" w:rsidRPr="00AC53F1">
        <w:rPr>
          <w:rFonts w:ascii="Times New Roman" w:hAnsi="Times New Roman" w:cs="Times New Roman"/>
          <w:sz w:val="28"/>
          <w:szCs w:val="28"/>
        </w:rPr>
        <w:t xml:space="preserve">-сальдовая ведомость, регистров синтетического и аналитического учета по всем используемым счетам; – </w:t>
      </w:r>
      <w:proofErr w:type="gramStart"/>
      <w:r w:rsidR="002C31DD" w:rsidRPr="00AC53F1">
        <w:rPr>
          <w:rFonts w:ascii="Times New Roman" w:hAnsi="Times New Roman" w:cs="Times New Roman"/>
          <w:sz w:val="28"/>
          <w:szCs w:val="28"/>
        </w:rPr>
        <w:t>состояние учета денежных средств (Положение о порядке ведения кассовых операций, кассира и действующего договора на полную материальную ответственность с ним; условия хранения и учета наличных средств и денежных документов; состояние записей в кассовой книге, остаток наличных денег и денежных документов в кассе; перечень всех счетов денежных средств организации с указанием их номеров и отделений банков;</w:t>
      </w:r>
      <w:proofErr w:type="gramEnd"/>
      <w:r w:rsidR="002C31DD" w:rsidRPr="00AC5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1DD" w:rsidRPr="00AC53F1">
        <w:rPr>
          <w:rFonts w:ascii="Times New Roman" w:hAnsi="Times New Roman" w:cs="Times New Roman"/>
          <w:sz w:val="28"/>
          <w:szCs w:val="28"/>
        </w:rPr>
        <w:t>остатки средств по каждому счету согласно выпискам банка, сверенным с данными учета; наличие чековых книжек, номера неиспользованных чеков); – состояние учета расчетных операций (наличие выписок из счетов в банке, договоров, актов сверки взаимных расчетов с контрагентами, актов сверки с налоговыми органами, а также задолженности перед бюджетом по налогам и сборам, просроченной и безнадежной дебиторской задолженности, кредиторской задолженности);</w:t>
      </w:r>
      <w:proofErr w:type="gramEnd"/>
      <w:r w:rsidR="002C31DD" w:rsidRPr="00AC53F1">
        <w:rPr>
          <w:rFonts w:ascii="Times New Roman" w:hAnsi="Times New Roman" w:cs="Times New Roman"/>
          <w:sz w:val="28"/>
          <w:szCs w:val="28"/>
        </w:rPr>
        <w:t xml:space="preserve"> – состояние учета основных средств и нематериальных активов (инвентаризационные описи, акты ввода в эксплуатацию объектов основных средств, их выбытия и списания, приказы о назначении материально ответственных лиц); – состояние учета материально-производственных запасов (наличие актов инвентаризации, приходных и расходных документов)</w:t>
      </w:r>
      <w:proofErr w:type="gramStart"/>
      <w:r w:rsidR="002C31DD" w:rsidRPr="00AC53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1DD" w:rsidRPr="00AC53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C31DD" w:rsidRPr="00AC53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31DD" w:rsidRPr="00AC53F1">
        <w:rPr>
          <w:rFonts w:ascii="Times New Roman" w:hAnsi="Times New Roman" w:cs="Times New Roman"/>
          <w:sz w:val="28"/>
          <w:szCs w:val="28"/>
        </w:rPr>
        <w:t xml:space="preserve">остояние расчетов с работниками (наличие штатного расписания, трудовых договоров, </w:t>
      </w:r>
      <w:r w:rsidR="002C31DD" w:rsidRPr="00AC53F1">
        <w:rPr>
          <w:rFonts w:ascii="Times New Roman" w:hAnsi="Times New Roman" w:cs="Times New Roman"/>
          <w:sz w:val="28"/>
          <w:szCs w:val="28"/>
        </w:rPr>
        <w:lastRenderedPageBreak/>
        <w:t xml:space="preserve">трудовых книжек, личных карточек работников, приказов по личному составу, Правил внутреннего трудового распорядка и других локальных актов организации; налоговые карточки и справки о доходах по НДФЛ; </w:t>
      </w:r>
      <w:proofErr w:type="gramStart"/>
      <w:r w:rsidR="002C31DD" w:rsidRPr="00AC53F1">
        <w:rPr>
          <w:rFonts w:ascii="Times New Roman" w:hAnsi="Times New Roman" w:cs="Times New Roman"/>
          <w:sz w:val="28"/>
          <w:szCs w:val="28"/>
        </w:rPr>
        <w:t>индивидуальные карточки по учету страховых взносов, больничные листки и документы о назначении пособий, сведения персонифицированного учета); – бухгалтерская и налоговая отчетность; – свидетельство о государственной регистрации, свидетельства о постановке на учет в налоговом органе, документы о регистрации ККТ; – список отсутствующих документов с объяснением причин их отсутствия, а также реестр ошибок, выявленных в ходе инвентаризации;</w:t>
      </w:r>
      <w:proofErr w:type="gramEnd"/>
      <w:r w:rsidR="002C31DD" w:rsidRPr="00AC53F1">
        <w:rPr>
          <w:rFonts w:ascii="Times New Roman" w:hAnsi="Times New Roman" w:cs="Times New Roman"/>
          <w:sz w:val="28"/>
          <w:szCs w:val="28"/>
        </w:rPr>
        <w:t xml:space="preserve"> – факт передачи печати учреждения, фирменных штампов, ключей от сейфа и бухгалтерии, ключей от системы «Клиент-Банк», сертификаты </w:t>
      </w:r>
      <w:proofErr w:type="spellStart"/>
      <w:r w:rsidR="002C31DD" w:rsidRPr="00AC53F1">
        <w:rPr>
          <w:rFonts w:ascii="Times New Roman" w:hAnsi="Times New Roman" w:cs="Times New Roman"/>
          <w:sz w:val="28"/>
          <w:szCs w:val="28"/>
        </w:rPr>
        <w:t>спецоператора</w:t>
      </w:r>
      <w:proofErr w:type="spellEnd"/>
      <w:r w:rsidR="002C31DD" w:rsidRPr="00AC53F1">
        <w:rPr>
          <w:rFonts w:ascii="Times New Roman" w:hAnsi="Times New Roman" w:cs="Times New Roman"/>
          <w:sz w:val="28"/>
          <w:szCs w:val="28"/>
        </w:rPr>
        <w:t xml:space="preserve"> связи и пр. – пояснения и замечания к акту увольняющегося руководителя и лица, принимающего дела. </w:t>
      </w:r>
    </w:p>
    <w:p w:rsidR="007B356A" w:rsidRPr="00AC53F1" w:rsidRDefault="00AC53F1" w:rsidP="00AC5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1DD" w:rsidRPr="00AC53F1">
        <w:rPr>
          <w:rFonts w:ascii="Times New Roman" w:hAnsi="Times New Roman" w:cs="Times New Roman"/>
          <w:sz w:val="28"/>
          <w:szCs w:val="28"/>
        </w:rPr>
        <w:t xml:space="preserve">7. Акт приема-передачи документов составляется в произвольной форме в двух экземплярах. Один остается в распоряжении учреждения, второй передается увольняющемуся руководителю и (или) главному бухгалтеру. </w:t>
      </w:r>
      <w:proofErr w:type="gramStart"/>
      <w:r w:rsidR="002C31DD" w:rsidRPr="00AC53F1">
        <w:rPr>
          <w:rFonts w:ascii="Times New Roman" w:hAnsi="Times New Roman" w:cs="Times New Roman"/>
          <w:sz w:val="28"/>
          <w:szCs w:val="28"/>
        </w:rPr>
        <w:t>В акте указываются: – фамилия, имя и отчество лиц, сдающих и принимающих дела, в том числе представителя вышестоящего органа и членов инвентаризационной комиссии, если они участвуют в передаче дел; – дата (период) передачи дел; – реквизиты приказа руководителя, на основании которого передаются дела; – опись передаваемых документов с указанием их наименований и количества папок с документами;</w:t>
      </w:r>
      <w:proofErr w:type="gramEnd"/>
      <w:r w:rsidR="002C31DD" w:rsidRPr="00AC53F1">
        <w:rPr>
          <w:rFonts w:ascii="Times New Roman" w:hAnsi="Times New Roman" w:cs="Times New Roman"/>
          <w:sz w:val="28"/>
          <w:szCs w:val="28"/>
        </w:rPr>
        <w:t xml:space="preserve"> – серии и номера неиспользованных банковских чеков, а также наименования и реквизиты неиспользованных бланков строгой отчетности; – ошибки и неточности в учете, бухгалтерской и налоговой отчетности, выявленные в ходе проверки; – список отсутствующих документов; – пояснения и замечания увольняющегося главного бухгалтера и лица, принимающего дела.</w:t>
      </w:r>
    </w:p>
    <w:sectPr w:rsidR="007B356A" w:rsidRPr="00AC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D2"/>
    <w:rsid w:val="00020193"/>
    <w:rsid w:val="002C31DD"/>
    <w:rsid w:val="006374FE"/>
    <w:rsid w:val="007B356A"/>
    <w:rsid w:val="00AC53F1"/>
    <w:rsid w:val="00C060D2"/>
    <w:rsid w:val="00C25B10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2019-08-15T09:05:00Z</cp:lastPrinted>
  <dcterms:created xsi:type="dcterms:W3CDTF">2019-08-15T07:17:00Z</dcterms:created>
  <dcterms:modified xsi:type="dcterms:W3CDTF">2019-08-21T04:46:00Z</dcterms:modified>
</cp:coreProperties>
</file>